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85258E" w:rsidRDefault="0085258E" w:rsidP="0085258E">
      <w:pPr>
        <w:rPr>
          <w:sz w:val="28"/>
        </w:rPr>
      </w:pPr>
    </w:p>
    <w:p w:rsidR="006939DA" w:rsidRPr="003372AE" w:rsidRDefault="006939DA" w:rsidP="006939DA">
      <w:pPr>
        <w:pStyle w:val="ConsPlusTitle"/>
        <w:jc w:val="center"/>
        <w:rPr>
          <w:sz w:val="26"/>
          <w:szCs w:val="26"/>
        </w:rPr>
      </w:pPr>
      <w:r w:rsidRPr="003372AE">
        <w:rPr>
          <w:sz w:val="26"/>
          <w:szCs w:val="26"/>
        </w:rPr>
        <w:t xml:space="preserve">О внесении изменений в решение Совета сельского поселения  </w:t>
      </w:r>
    </w:p>
    <w:p w:rsidR="006939DA" w:rsidRPr="003372AE" w:rsidRDefault="003372AE" w:rsidP="006939DA">
      <w:pPr>
        <w:pStyle w:val="ConsPlusTitle"/>
        <w:jc w:val="center"/>
        <w:rPr>
          <w:sz w:val="26"/>
          <w:szCs w:val="26"/>
        </w:rPr>
      </w:pPr>
      <w:r w:rsidRPr="003372AE">
        <w:rPr>
          <w:sz w:val="26"/>
          <w:szCs w:val="26"/>
        </w:rPr>
        <w:t>Тюменяковский</w:t>
      </w:r>
      <w:r w:rsidR="006939DA" w:rsidRPr="003372AE">
        <w:rPr>
          <w:sz w:val="26"/>
          <w:szCs w:val="26"/>
        </w:rPr>
        <w:t xml:space="preserve"> сельсовет муниципального района Туймазинский рай</w:t>
      </w:r>
      <w:r w:rsidRPr="003372AE">
        <w:rPr>
          <w:sz w:val="26"/>
          <w:szCs w:val="26"/>
        </w:rPr>
        <w:t>он Республики Башкортостан от 20.03.2017 года № 81</w:t>
      </w:r>
      <w:r w:rsidR="006939DA" w:rsidRPr="003372AE">
        <w:rPr>
          <w:sz w:val="26"/>
          <w:szCs w:val="26"/>
        </w:rPr>
        <w:t xml:space="preserve"> «Об утверждении Положения о порядке реализации  муниципального имущества, закрепленного на праве оперативного управления за муниципальными учреждениями сельского поселения  </w:t>
      </w:r>
      <w:r w:rsidRPr="003372AE">
        <w:rPr>
          <w:sz w:val="26"/>
          <w:szCs w:val="26"/>
        </w:rPr>
        <w:t>Тюменяковский</w:t>
      </w:r>
      <w:r w:rsidR="006939DA" w:rsidRPr="003372AE">
        <w:rPr>
          <w:sz w:val="26"/>
          <w:szCs w:val="26"/>
        </w:rPr>
        <w:t xml:space="preserve"> сельсовет муниципального района Туймазинский район Республики Башкортостан»</w:t>
      </w:r>
    </w:p>
    <w:p w:rsidR="006939DA" w:rsidRPr="003372AE" w:rsidRDefault="006939DA" w:rsidP="006939DA">
      <w:pPr>
        <w:jc w:val="center"/>
        <w:rPr>
          <w:sz w:val="26"/>
          <w:szCs w:val="26"/>
        </w:rPr>
      </w:pPr>
    </w:p>
    <w:p w:rsidR="006939DA" w:rsidRPr="003372AE" w:rsidRDefault="006939DA" w:rsidP="006939DA">
      <w:pPr>
        <w:pStyle w:val="ConsPlusTitle"/>
        <w:ind w:firstLine="709"/>
        <w:jc w:val="both"/>
        <w:rPr>
          <w:sz w:val="26"/>
          <w:szCs w:val="26"/>
        </w:rPr>
      </w:pPr>
      <w:r w:rsidRPr="003372AE">
        <w:rPr>
          <w:b w:val="0"/>
          <w:sz w:val="26"/>
          <w:szCs w:val="26"/>
        </w:rPr>
        <w:t xml:space="preserve">На основании протеста Туймазинской межрайонной прокуратуры от 29.09.2023г., руководствуясь приказами Министерства земельных и имущественных отношений Республики Башкортостан от 27.02.2020г. №282  и от 17.05.2021г. № 806 Совет сельского поселения </w:t>
      </w:r>
      <w:r w:rsidR="003372AE" w:rsidRPr="003372AE">
        <w:rPr>
          <w:b w:val="0"/>
          <w:sz w:val="26"/>
          <w:szCs w:val="26"/>
        </w:rPr>
        <w:t>Тюменяковский</w:t>
      </w:r>
      <w:r w:rsidRPr="003372AE">
        <w:rPr>
          <w:b w:val="0"/>
          <w:sz w:val="26"/>
          <w:szCs w:val="26"/>
        </w:rPr>
        <w:t xml:space="preserve"> сельсовет муниципального района Туймазинский район Республики Башкортостан</w:t>
      </w:r>
    </w:p>
    <w:p w:rsidR="006939DA" w:rsidRPr="003372AE" w:rsidRDefault="006939DA" w:rsidP="006939DA">
      <w:pPr>
        <w:ind w:firstLine="709"/>
        <w:jc w:val="center"/>
        <w:rPr>
          <w:b/>
          <w:bCs/>
          <w:spacing w:val="20"/>
          <w:sz w:val="26"/>
          <w:szCs w:val="26"/>
        </w:rPr>
      </w:pPr>
      <w:r w:rsidRPr="003372AE">
        <w:rPr>
          <w:b/>
          <w:bCs/>
          <w:spacing w:val="20"/>
          <w:sz w:val="26"/>
          <w:szCs w:val="26"/>
        </w:rPr>
        <w:t>РЕШИЛ:</w:t>
      </w:r>
    </w:p>
    <w:p w:rsidR="006939DA" w:rsidRPr="003372AE" w:rsidRDefault="006939DA" w:rsidP="006939DA">
      <w:pPr>
        <w:ind w:firstLine="709"/>
        <w:jc w:val="center"/>
        <w:rPr>
          <w:bCs/>
          <w:spacing w:val="20"/>
          <w:sz w:val="26"/>
          <w:szCs w:val="26"/>
        </w:rPr>
      </w:pPr>
    </w:p>
    <w:p w:rsidR="006939DA" w:rsidRPr="003372AE" w:rsidRDefault="006939DA" w:rsidP="006939DA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3372AE">
        <w:rPr>
          <w:b w:val="0"/>
          <w:sz w:val="26"/>
          <w:szCs w:val="26"/>
        </w:rPr>
        <w:t xml:space="preserve">1. Внести следующие изменения и дополнения в Положение о порядке реализации муниципального имущества, закрепленного на праве оперативного управления за муниципальными учреждениями сельского поселения </w:t>
      </w:r>
      <w:r w:rsidR="003372AE" w:rsidRPr="003372AE">
        <w:rPr>
          <w:b w:val="0"/>
          <w:sz w:val="26"/>
          <w:szCs w:val="26"/>
        </w:rPr>
        <w:t>Тюменяковский</w:t>
      </w:r>
      <w:r w:rsidRPr="003372AE">
        <w:rPr>
          <w:b w:val="0"/>
          <w:sz w:val="26"/>
          <w:szCs w:val="26"/>
        </w:rPr>
        <w:t xml:space="preserve"> сельсовет муниципального района Туймазинский район Республики Башкортостан, утвержденное решением Совета сельского поселения  </w:t>
      </w:r>
      <w:r w:rsidR="003372AE" w:rsidRPr="003372AE">
        <w:rPr>
          <w:b w:val="0"/>
          <w:sz w:val="26"/>
          <w:szCs w:val="26"/>
        </w:rPr>
        <w:t>Тюменяковский</w:t>
      </w:r>
      <w:r w:rsidRPr="003372AE">
        <w:rPr>
          <w:b w:val="0"/>
          <w:sz w:val="26"/>
          <w:szCs w:val="26"/>
        </w:rPr>
        <w:t xml:space="preserve"> сельсовет муниципального района Туймазинский рай</w:t>
      </w:r>
      <w:r w:rsidR="003372AE" w:rsidRPr="003372AE">
        <w:rPr>
          <w:b w:val="0"/>
          <w:sz w:val="26"/>
          <w:szCs w:val="26"/>
        </w:rPr>
        <w:t>он Республики Башкортостан от 20.03.2017 года № 81</w:t>
      </w:r>
      <w:r w:rsidRPr="003372AE">
        <w:rPr>
          <w:b w:val="0"/>
          <w:sz w:val="26"/>
          <w:szCs w:val="26"/>
        </w:rPr>
        <w:t>:</w:t>
      </w:r>
    </w:p>
    <w:p w:rsidR="006939DA" w:rsidRPr="003372AE" w:rsidRDefault="006939DA" w:rsidP="006939D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372AE">
        <w:rPr>
          <w:b w:val="0"/>
          <w:sz w:val="26"/>
          <w:szCs w:val="26"/>
        </w:rPr>
        <w:t>1.1. подпункт «з» пункта 2.2. изложить в следующей редакции:</w:t>
      </w:r>
    </w:p>
    <w:p w:rsidR="006939DA" w:rsidRPr="003372AE" w:rsidRDefault="006939DA" w:rsidP="006939DA">
      <w:pPr>
        <w:ind w:firstLine="709"/>
        <w:jc w:val="both"/>
        <w:rPr>
          <w:b/>
          <w:sz w:val="26"/>
          <w:szCs w:val="26"/>
        </w:rPr>
      </w:pPr>
      <w:r w:rsidRPr="003372AE">
        <w:rPr>
          <w:sz w:val="26"/>
          <w:szCs w:val="26"/>
        </w:rPr>
        <w:t>«</w:t>
      </w:r>
      <w:bookmarkStart w:id="0" w:name="sub_1822"/>
      <w:r w:rsidRPr="003372AE">
        <w:rPr>
          <w:sz w:val="26"/>
          <w:szCs w:val="26"/>
        </w:rPr>
        <w:t xml:space="preserve">з) отчет об оценке рыночной стоимости имущества, в отношении которого предполагается совершить сделку, выполненный независимым оценщиком в соответствии с требованиями законодательства об оценочной деятельности, федеральных стандартов оценки и составленный не ранее чем за три месяца до его представления, и экспертное заключение саморегулируемой организации </w:t>
      </w:r>
      <w:bookmarkEnd w:id="0"/>
      <w:r w:rsidRPr="003372AE">
        <w:rPr>
          <w:sz w:val="26"/>
          <w:szCs w:val="26"/>
        </w:rPr>
        <w:t>(за исключением случаев, когда рыночная стоимость имущества, в отношении которого предполагается совершить сделку, не превышает пятисот тысяч рублей, и когда предполагается совершить сделку в отношении продукции, являющейся результатом производственно-хозяйственной деятельности учреждения), содержащее вывод о соответствии отчета об оценке рыночной стоимости имущества требованиям законодательства Российской Федерации об оценочной деятельности (в том числе требованиям Федерального закона от 29 июля 1998 года № 135-ФЗ «Об оценочной деятельности в Российской Федерации»,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деятельности), стандартов и правил оценочной деятельности, и вывод о подтверждении стоимости объекта оценки, определенной оценщиком в отчете об оценке рыночной стоимости имущества.».</w:t>
      </w:r>
    </w:p>
    <w:p w:rsidR="006939DA" w:rsidRPr="003372AE" w:rsidRDefault="006939DA" w:rsidP="006939D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372AE">
        <w:rPr>
          <w:b w:val="0"/>
          <w:sz w:val="26"/>
          <w:szCs w:val="26"/>
        </w:rPr>
        <w:lastRenderedPageBreak/>
        <w:t xml:space="preserve">2. Обнародовать настоящее решение в здании Администрации сельского поселения и разместить на официальном сайте сельского поселения </w:t>
      </w:r>
      <w:r w:rsidR="003372AE" w:rsidRPr="003372AE">
        <w:rPr>
          <w:b w:val="0"/>
          <w:sz w:val="26"/>
          <w:szCs w:val="26"/>
        </w:rPr>
        <w:t>Тюменяковский</w:t>
      </w:r>
      <w:r w:rsidRPr="003372AE">
        <w:rPr>
          <w:b w:val="0"/>
          <w:sz w:val="26"/>
          <w:szCs w:val="26"/>
        </w:rPr>
        <w:t xml:space="preserve"> сельсовет муниципального района Туймазинский район Республики Башкортостан.</w:t>
      </w:r>
    </w:p>
    <w:p w:rsidR="006939DA" w:rsidRPr="003372AE" w:rsidRDefault="006939DA" w:rsidP="006939D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372AE">
        <w:rPr>
          <w:b w:val="0"/>
          <w:sz w:val="26"/>
          <w:szCs w:val="26"/>
        </w:rPr>
        <w:t>3. Контроль за исполнением настоящего решения возложить на постоянную комиссию Совета по бюджету, налогам, вопросам муниципальн</w:t>
      </w:r>
      <w:r w:rsidR="003372AE" w:rsidRPr="003372AE">
        <w:rPr>
          <w:b w:val="0"/>
          <w:sz w:val="26"/>
          <w:szCs w:val="26"/>
        </w:rPr>
        <w:t>ой собственности (Гибадуллин А.А</w:t>
      </w:r>
      <w:r w:rsidRPr="003372AE">
        <w:rPr>
          <w:b w:val="0"/>
          <w:sz w:val="26"/>
          <w:szCs w:val="26"/>
        </w:rPr>
        <w:t>.).</w:t>
      </w:r>
    </w:p>
    <w:p w:rsidR="006939DA" w:rsidRPr="003372AE" w:rsidRDefault="006939DA" w:rsidP="006939DA">
      <w:pPr>
        <w:pStyle w:val="ab"/>
        <w:widowControl w:val="0"/>
        <w:ind w:right="-766"/>
        <w:rPr>
          <w:sz w:val="26"/>
          <w:szCs w:val="26"/>
        </w:rPr>
      </w:pPr>
      <w:r w:rsidRPr="003372AE">
        <w:rPr>
          <w:sz w:val="26"/>
          <w:szCs w:val="26"/>
        </w:rPr>
        <w:t xml:space="preserve">    </w:t>
      </w:r>
    </w:p>
    <w:p w:rsidR="006939DA" w:rsidRPr="003372AE" w:rsidRDefault="006939DA" w:rsidP="006939D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6939DA" w:rsidRPr="003372AE" w:rsidRDefault="006939DA" w:rsidP="006939D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6939DA" w:rsidRPr="003372AE" w:rsidRDefault="006939DA" w:rsidP="006939D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939DA" w:rsidRPr="003372AE" w:rsidRDefault="006939DA" w:rsidP="006939D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6939DA" w:rsidRPr="003372AE" w:rsidRDefault="006939DA" w:rsidP="006939DA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>Республики Башкортостан                                              Ф.М. Шагиев</w:t>
      </w:r>
    </w:p>
    <w:p w:rsidR="006939DA" w:rsidRPr="003372AE" w:rsidRDefault="006939DA" w:rsidP="006939D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6939DA" w:rsidRPr="003372AE" w:rsidRDefault="003372AE" w:rsidP="006939DA">
      <w:pPr>
        <w:jc w:val="both"/>
        <w:rPr>
          <w:sz w:val="26"/>
          <w:szCs w:val="26"/>
        </w:rPr>
      </w:pPr>
      <w:r w:rsidRPr="003372AE">
        <w:rPr>
          <w:sz w:val="26"/>
          <w:szCs w:val="26"/>
        </w:rPr>
        <w:t>12</w:t>
      </w:r>
      <w:r w:rsidR="006939DA" w:rsidRPr="003372AE">
        <w:rPr>
          <w:sz w:val="26"/>
          <w:szCs w:val="26"/>
        </w:rPr>
        <w:t xml:space="preserve"> октября 2023 года</w:t>
      </w:r>
    </w:p>
    <w:p w:rsidR="006939DA" w:rsidRPr="003372AE" w:rsidRDefault="003372AE" w:rsidP="006939DA">
      <w:pPr>
        <w:jc w:val="both"/>
        <w:rPr>
          <w:b/>
          <w:sz w:val="26"/>
          <w:szCs w:val="26"/>
        </w:rPr>
      </w:pPr>
      <w:r w:rsidRPr="003372AE">
        <w:rPr>
          <w:sz w:val="26"/>
          <w:szCs w:val="26"/>
        </w:rPr>
        <w:t>№ 20</w:t>
      </w:r>
    </w:p>
    <w:sectPr w:rsidR="006939DA" w:rsidRPr="003372AE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31" w:rsidRDefault="007A4D31" w:rsidP="00D371EE">
      <w:r>
        <w:separator/>
      </w:r>
    </w:p>
  </w:endnote>
  <w:endnote w:type="continuationSeparator" w:id="1">
    <w:p w:rsidR="007A4D31" w:rsidRDefault="007A4D31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196BD2">
        <w:pPr>
          <w:pStyle w:val="af6"/>
          <w:jc w:val="center"/>
        </w:pPr>
        <w:fldSimple w:instr=" PAGE   \* MERGEFORMAT ">
          <w:r w:rsidR="00B97F4B">
            <w:rPr>
              <w:noProof/>
            </w:rPr>
            <w:t>2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31" w:rsidRDefault="007A4D31" w:rsidP="00D371EE">
      <w:r>
        <w:separator/>
      </w:r>
    </w:p>
  </w:footnote>
  <w:footnote w:type="continuationSeparator" w:id="1">
    <w:p w:rsidR="007A4D31" w:rsidRDefault="007A4D31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C02BF6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943720D"/>
    <w:multiLevelType w:val="hybridMultilevel"/>
    <w:tmpl w:val="E6AAA26E"/>
    <w:lvl w:ilvl="0" w:tplc="0598E9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56A2C"/>
    <w:multiLevelType w:val="hybridMultilevel"/>
    <w:tmpl w:val="2876A5E8"/>
    <w:lvl w:ilvl="0" w:tplc="DB4694C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B63D1"/>
    <w:multiLevelType w:val="multilevel"/>
    <w:tmpl w:val="F16EC1A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718729F9"/>
    <w:multiLevelType w:val="hybridMultilevel"/>
    <w:tmpl w:val="FDA08A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05B32"/>
    <w:multiLevelType w:val="hybridMultilevel"/>
    <w:tmpl w:val="34724DF8"/>
    <w:lvl w:ilvl="0" w:tplc="3696A80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4AF0"/>
    <w:rsid w:val="00025497"/>
    <w:rsid w:val="00031AFD"/>
    <w:rsid w:val="000346BB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96BD2"/>
    <w:rsid w:val="001B1B40"/>
    <w:rsid w:val="001D400D"/>
    <w:rsid w:val="0021278B"/>
    <w:rsid w:val="00213927"/>
    <w:rsid w:val="002163B2"/>
    <w:rsid w:val="00216FA8"/>
    <w:rsid w:val="0024619B"/>
    <w:rsid w:val="00247DE4"/>
    <w:rsid w:val="00264336"/>
    <w:rsid w:val="00270404"/>
    <w:rsid w:val="002C0BB6"/>
    <w:rsid w:val="002C2A3B"/>
    <w:rsid w:val="002F4D3D"/>
    <w:rsid w:val="00303125"/>
    <w:rsid w:val="003102FD"/>
    <w:rsid w:val="0033382D"/>
    <w:rsid w:val="003363E3"/>
    <w:rsid w:val="003372AE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220B"/>
    <w:rsid w:val="00496FC0"/>
    <w:rsid w:val="004A207A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F1CEF"/>
    <w:rsid w:val="00615971"/>
    <w:rsid w:val="00630B30"/>
    <w:rsid w:val="00644072"/>
    <w:rsid w:val="006534A3"/>
    <w:rsid w:val="00656CFC"/>
    <w:rsid w:val="00665463"/>
    <w:rsid w:val="00683DC8"/>
    <w:rsid w:val="006906A0"/>
    <w:rsid w:val="0069312E"/>
    <w:rsid w:val="006939DA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6EE2"/>
    <w:rsid w:val="00734300"/>
    <w:rsid w:val="00735169"/>
    <w:rsid w:val="00736787"/>
    <w:rsid w:val="00751ABA"/>
    <w:rsid w:val="00754276"/>
    <w:rsid w:val="007569F1"/>
    <w:rsid w:val="007726C1"/>
    <w:rsid w:val="00792E8A"/>
    <w:rsid w:val="007A42C4"/>
    <w:rsid w:val="007A4D31"/>
    <w:rsid w:val="007B2385"/>
    <w:rsid w:val="007C18DE"/>
    <w:rsid w:val="007D0FCF"/>
    <w:rsid w:val="0083623A"/>
    <w:rsid w:val="00840255"/>
    <w:rsid w:val="0085258E"/>
    <w:rsid w:val="008534FD"/>
    <w:rsid w:val="008720BF"/>
    <w:rsid w:val="00892522"/>
    <w:rsid w:val="00892B43"/>
    <w:rsid w:val="0089532C"/>
    <w:rsid w:val="008A6E06"/>
    <w:rsid w:val="008B508B"/>
    <w:rsid w:val="008D7810"/>
    <w:rsid w:val="008F59AD"/>
    <w:rsid w:val="00915ABB"/>
    <w:rsid w:val="009234D4"/>
    <w:rsid w:val="00924191"/>
    <w:rsid w:val="0097218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AF52C2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742F"/>
    <w:rsid w:val="00B97F4B"/>
    <w:rsid w:val="00BA2C04"/>
    <w:rsid w:val="00BA7721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77CCE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34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uiPriority w:val="34"/>
    <w:qFormat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2023-10-18T04:23:00Z</cp:lastPrinted>
  <dcterms:created xsi:type="dcterms:W3CDTF">2022-10-12T06:20:00Z</dcterms:created>
  <dcterms:modified xsi:type="dcterms:W3CDTF">2023-10-19T09:54:00Z</dcterms:modified>
</cp:coreProperties>
</file>