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:rsidTr="006629A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7A7F4E" w:rsidRDefault="007A7F4E" w:rsidP="007A7F4E">
      <w:pPr>
        <w:spacing w:line="240" w:lineRule="exact"/>
        <w:ind w:firstLine="709"/>
        <w:jc w:val="both"/>
        <w:rPr>
          <w:rFonts w:cs="Times New Roman"/>
          <w:szCs w:val="28"/>
        </w:rPr>
      </w:pPr>
    </w:p>
    <w:p w:rsidR="007A7F4E" w:rsidRPr="005E27F0" w:rsidRDefault="007A7F4E" w:rsidP="007A7F4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5E27F0">
        <w:rPr>
          <w:rFonts w:cs="Times New Roman"/>
          <w:szCs w:val="28"/>
        </w:rPr>
        <w:t xml:space="preserve">Межрайонной прокуратурой поддержано обвинение по уголовному в отношении </w:t>
      </w:r>
      <w:r w:rsidR="0055427D">
        <w:rPr>
          <w:rFonts w:cs="Times New Roman"/>
          <w:szCs w:val="28"/>
        </w:rPr>
        <w:t xml:space="preserve">местного </w:t>
      </w:r>
      <w:r w:rsidR="00737049">
        <w:rPr>
          <w:rFonts w:cs="Times New Roman"/>
          <w:szCs w:val="28"/>
        </w:rPr>
        <w:t>жителя</w:t>
      </w:r>
      <w:r w:rsidRPr="005E27F0">
        <w:rPr>
          <w:rFonts w:cs="Times New Roman"/>
          <w:szCs w:val="28"/>
        </w:rPr>
        <w:t xml:space="preserve">, </w:t>
      </w:r>
      <w:r w:rsidR="00737049">
        <w:rPr>
          <w:rFonts w:cs="Times New Roman"/>
          <w:szCs w:val="28"/>
        </w:rPr>
        <w:t>совершившего наезд на человека с целью покушения на убийство</w:t>
      </w:r>
      <w:r>
        <w:rPr>
          <w:rFonts w:cs="Times New Roman"/>
          <w:szCs w:val="28"/>
        </w:rPr>
        <w:t>».</w:t>
      </w:r>
    </w:p>
    <w:p w:rsidR="007A7F4E" w:rsidRPr="005E27F0" w:rsidRDefault="007A7F4E" w:rsidP="007A7F4E">
      <w:pPr>
        <w:spacing w:line="240" w:lineRule="exact"/>
        <w:jc w:val="both"/>
        <w:rPr>
          <w:rFonts w:cs="Times New Roman"/>
          <w:szCs w:val="28"/>
        </w:rPr>
      </w:pPr>
    </w:p>
    <w:p w:rsidR="007A7F4E" w:rsidRPr="005E27F0" w:rsidRDefault="007A7F4E" w:rsidP="007A7F4E">
      <w:pPr>
        <w:ind w:firstLine="709"/>
        <w:jc w:val="both"/>
        <w:rPr>
          <w:rFonts w:cs="Times New Roman"/>
          <w:szCs w:val="28"/>
        </w:rPr>
      </w:pPr>
      <w:r w:rsidRPr="005E27F0">
        <w:rPr>
          <w:rFonts w:cs="Times New Roman"/>
          <w:szCs w:val="28"/>
        </w:rPr>
        <w:t xml:space="preserve">Межрайонная прокуратура поддержала обвинение в суде по уголовному делу в отношении </w:t>
      </w:r>
      <w:r w:rsidR="0055427D">
        <w:rPr>
          <w:rFonts w:cs="Times New Roman"/>
          <w:szCs w:val="28"/>
        </w:rPr>
        <w:t xml:space="preserve">местного </w:t>
      </w:r>
      <w:r w:rsidR="00737049">
        <w:rPr>
          <w:rFonts w:cs="Times New Roman"/>
          <w:szCs w:val="28"/>
        </w:rPr>
        <w:t>жителя</w:t>
      </w:r>
      <w:r w:rsidRPr="005E27F0">
        <w:rPr>
          <w:rFonts w:cs="Times New Roman"/>
          <w:szCs w:val="28"/>
        </w:rPr>
        <w:t>.</w:t>
      </w:r>
    </w:p>
    <w:p w:rsidR="007A7F4E" w:rsidRPr="005E27F0" w:rsidRDefault="007A7F4E" w:rsidP="007A7F4E">
      <w:pPr>
        <w:ind w:firstLine="709"/>
        <w:jc w:val="both"/>
        <w:rPr>
          <w:rFonts w:cs="Times New Roman"/>
          <w:szCs w:val="28"/>
        </w:rPr>
      </w:pPr>
      <w:r w:rsidRPr="005E27F0">
        <w:rPr>
          <w:rFonts w:cs="Times New Roman"/>
          <w:szCs w:val="28"/>
        </w:rPr>
        <w:t>Он обвиняется в совершении преступлени</w:t>
      </w:r>
      <w:r w:rsidR="0055427D">
        <w:rPr>
          <w:rFonts w:cs="Times New Roman"/>
          <w:szCs w:val="28"/>
        </w:rPr>
        <w:t>я</w:t>
      </w:r>
      <w:r w:rsidRPr="005E27F0">
        <w:rPr>
          <w:rFonts w:cs="Times New Roman"/>
          <w:szCs w:val="28"/>
        </w:rPr>
        <w:t>, предусмотренн</w:t>
      </w:r>
      <w:r w:rsidR="0055427D">
        <w:rPr>
          <w:rFonts w:cs="Times New Roman"/>
          <w:szCs w:val="28"/>
        </w:rPr>
        <w:t xml:space="preserve">ого </w:t>
      </w:r>
      <w:r w:rsidR="00737049">
        <w:rPr>
          <w:rFonts w:cs="Times New Roman"/>
          <w:szCs w:val="28"/>
        </w:rPr>
        <w:t>ч. 3 ст. 30 – ч. 1 ст. 105 УК РФ</w:t>
      </w:r>
      <w:r w:rsidR="009C1F85">
        <w:rPr>
          <w:rFonts w:cs="Times New Roman"/>
          <w:szCs w:val="28"/>
        </w:rPr>
        <w:t xml:space="preserve"> (</w:t>
      </w:r>
      <w:r w:rsidR="00737049">
        <w:rPr>
          <w:rFonts w:cs="Times New Roman"/>
          <w:szCs w:val="28"/>
        </w:rPr>
        <w:t>покушение на убийство, то есть умышленные действия лица, непосредственно направленные на причинение смерти другому человеку, если при этом преступление не было доведено до конца по независящим от этого лица обстоятельствам</w:t>
      </w:r>
      <w:r w:rsidR="009C1F85">
        <w:rPr>
          <w:rFonts w:cs="Times New Roman"/>
          <w:szCs w:val="28"/>
        </w:rPr>
        <w:t>)</w:t>
      </w:r>
      <w:r w:rsidR="0055427D">
        <w:rPr>
          <w:rFonts w:cs="Times New Roman"/>
          <w:szCs w:val="28"/>
        </w:rPr>
        <w:t>.</w:t>
      </w:r>
    </w:p>
    <w:p w:rsidR="00737049" w:rsidRDefault="007A7F4E" w:rsidP="00737049">
      <w:pPr>
        <w:ind w:firstLine="708"/>
        <w:jc w:val="both"/>
        <w:rPr>
          <w:rFonts w:cs="Times New Roman"/>
          <w:szCs w:val="28"/>
        </w:rPr>
      </w:pPr>
      <w:r w:rsidRPr="005E27F0">
        <w:rPr>
          <w:rFonts w:cs="Times New Roman"/>
          <w:szCs w:val="28"/>
        </w:rPr>
        <w:t xml:space="preserve">Установлено, что </w:t>
      </w:r>
      <w:r w:rsidR="00737049" w:rsidRPr="005E6C90">
        <w:rPr>
          <w:rFonts w:cs="Times New Roman"/>
          <w:szCs w:val="28"/>
        </w:rPr>
        <w:t>04</w:t>
      </w:r>
      <w:r w:rsidR="00737049">
        <w:rPr>
          <w:rFonts w:cs="Times New Roman"/>
          <w:szCs w:val="28"/>
        </w:rPr>
        <w:t xml:space="preserve">.05.2022 около 18 часов 40 минут между находившимся на участке местности, напротив магазина «Алмаз» по адресу: Республика Башкортостан, </w:t>
      </w:r>
      <w:proofErr w:type="spellStart"/>
      <w:r w:rsidR="00737049">
        <w:rPr>
          <w:rFonts w:cs="Times New Roman"/>
          <w:szCs w:val="28"/>
        </w:rPr>
        <w:t>Туймазинский</w:t>
      </w:r>
      <w:proofErr w:type="spellEnd"/>
      <w:r w:rsidR="00737049">
        <w:rPr>
          <w:rFonts w:cs="Times New Roman"/>
          <w:szCs w:val="28"/>
        </w:rPr>
        <w:t xml:space="preserve"> район, с. Серафимовский,                        ул. Социалистическая, д. 43 обвиняемым Г. и потерпевшим Н. произошел конфликт, в ходе которого у Г. возникли неприязненные отношения к Н., а также преступный умысел направленный на убийство последнего.</w:t>
      </w:r>
    </w:p>
    <w:p w:rsidR="00737049" w:rsidRDefault="00737049" w:rsidP="0073704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Реализуя свой преступный умысел, направленный на причинение смерти Н., 04.05.2022 около 18.45 часов Г., сел за руль автомобиля марки «</w:t>
      </w:r>
      <w:proofErr w:type="spellStart"/>
      <w:r>
        <w:rPr>
          <w:rFonts w:cs="Times New Roman"/>
          <w:szCs w:val="28"/>
        </w:rPr>
        <w:t>Лифан</w:t>
      </w:r>
      <w:proofErr w:type="spellEnd"/>
      <w:r>
        <w:rPr>
          <w:rFonts w:cs="Times New Roman"/>
          <w:szCs w:val="28"/>
        </w:rPr>
        <w:t>» припаркованного на данном участке местности, используя его в качестве оружия преступления, заведомо зная, что автомобиль является источником повышенной опасности, предвидя возможность наступления общественно-опасных последствий в виде наезда транспортного средства на человека и причинения последнему смерти, грубо нарушая требования п. 10.1 и 8.1 Правил дорожного движения РФ двигаясь на указанном автомобиле передним ходом с ускорением, умышленно совершил наезд на стоящего Н., который в результате наезда получил телесные повреждения в области жизненно-важных органов.</w:t>
      </w:r>
    </w:p>
    <w:p w:rsidR="00737049" w:rsidRDefault="00737049" w:rsidP="0073704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результате умышленных преступных действий Г. потерпевшему Н. причинены телесные повреждения в виде компрессионного перелома 1 поясничного позвонка, закрытого перелома ребер с 3 по 10 ребер справа, 5, 8, 11 ребер слева, которые по своему характеру вызывают длительное расстройство здоровья продолжительностью свыше трех недель и по этому признаку квалифицируются как повреждения, причинившие среднюю тяжесть вреда здоровью человека.</w:t>
      </w:r>
    </w:p>
    <w:p w:rsidR="00737049" w:rsidRDefault="00737049" w:rsidP="0073704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Продолжая реализацию своего преступного умысла, Г. непосредственно после наезда на Н., развернул и повторно с ускорением направил управляемый им автомобиль марки «</w:t>
      </w:r>
      <w:proofErr w:type="spellStart"/>
      <w:r>
        <w:rPr>
          <w:rFonts w:cs="Times New Roman"/>
          <w:szCs w:val="28"/>
        </w:rPr>
        <w:t>Лифан</w:t>
      </w:r>
      <w:proofErr w:type="spellEnd"/>
      <w:r>
        <w:rPr>
          <w:rFonts w:cs="Times New Roman"/>
          <w:szCs w:val="28"/>
        </w:rPr>
        <w:t>» на Н. с целью повторного наезда на последнего.</w:t>
      </w:r>
    </w:p>
    <w:p w:rsidR="00737049" w:rsidRDefault="00737049" w:rsidP="0073704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Однако, свои преступные действия, непосредственно направленные на причинение смерти Н., Г. не смог довести до конца по независящим от него обстоятельства – ввиду активных действий потерпевшего, выразившихся в уклонении от повторного наезда на него транспортного средства под управлением Г.</w:t>
      </w:r>
    </w:p>
    <w:p w:rsidR="0055427D" w:rsidRDefault="0055427D" w:rsidP="009C1F8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</w:t>
      </w:r>
      <w:r w:rsidR="007A7F4E" w:rsidRPr="005E27F0">
        <w:rPr>
          <w:rFonts w:cs="Times New Roman"/>
          <w:szCs w:val="28"/>
        </w:rPr>
        <w:t xml:space="preserve">Суд согласился с позицией государственного обвинителя о виновности </w:t>
      </w:r>
      <w:r>
        <w:rPr>
          <w:rFonts w:cs="Times New Roman"/>
          <w:szCs w:val="28"/>
        </w:rPr>
        <w:t xml:space="preserve">вышеуказанного </w:t>
      </w:r>
      <w:r w:rsidR="00737049">
        <w:rPr>
          <w:rFonts w:cs="Times New Roman"/>
          <w:szCs w:val="28"/>
        </w:rPr>
        <w:t>лица</w:t>
      </w:r>
      <w:r w:rsidR="007A7F4E" w:rsidRPr="005E27F0">
        <w:rPr>
          <w:rFonts w:cs="Times New Roman"/>
          <w:szCs w:val="28"/>
        </w:rPr>
        <w:t xml:space="preserve"> в совершении инкриминируемого преступления. Приговором суда е</w:t>
      </w:r>
      <w:r>
        <w:rPr>
          <w:rFonts w:cs="Times New Roman"/>
          <w:szCs w:val="28"/>
        </w:rPr>
        <w:t>му</w:t>
      </w:r>
      <w:r w:rsidR="007A7F4E" w:rsidRPr="005E27F0">
        <w:rPr>
          <w:rFonts w:cs="Times New Roman"/>
          <w:szCs w:val="28"/>
        </w:rPr>
        <w:t xml:space="preserve"> назначено наказание в виде </w:t>
      </w:r>
      <w:r w:rsidR="00737049">
        <w:rPr>
          <w:rFonts w:cs="Times New Roman"/>
          <w:szCs w:val="28"/>
        </w:rPr>
        <w:t>6 лет лишения свободы с отбыванием наказания в исправительной колонии строгого режима.</w:t>
      </w:r>
    </w:p>
    <w:p w:rsidR="00737049" w:rsidRDefault="00737049" w:rsidP="007A7F4E">
      <w:pPr>
        <w:spacing w:line="240" w:lineRule="exact"/>
        <w:jc w:val="both"/>
        <w:rPr>
          <w:rFonts w:cs="Times New Roman"/>
          <w:szCs w:val="28"/>
        </w:rPr>
      </w:pPr>
    </w:p>
    <w:p w:rsidR="001E4FA1" w:rsidRDefault="001E4FA1" w:rsidP="007A7F4E">
      <w:pPr>
        <w:spacing w:line="240" w:lineRule="exact"/>
        <w:jc w:val="both"/>
        <w:rPr>
          <w:rFonts w:cs="Times New Roman"/>
          <w:szCs w:val="28"/>
        </w:rPr>
      </w:pPr>
    </w:p>
    <w:p w:rsidR="007A7F4E" w:rsidRDefault="001E4FA1" w:rsidP="007A7F4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м</w:t>
      </w:r>
      <w:r w:rsidR="007A7F4E">
        <w:rPr>
          <w:rFonts w:cs="Times New Roman"/>
          <w:szCs w:val="28"/>
        </w:rPr>
        <w:t>ежрайонн</w:t>
      </w:r>
      <w:r>
        <w:rPr>
          <w:rFonts w:cs="Times New Roman"/>
          <w:szCs w:val="28"/>
        </w:rPr>
        <w:t>ого</w:t>
      </w:r>
      <w:r w:rsidR="007A7F4E">
        <w:rPr>
          <w:rFonts w:cs="Times New Roman"/>
          <w:szCs w:val="28"/>
        </w:rPr>
        <w:t xml:space="preserve"> прокурор</w:t>
      </w:r>
      <w:r>
        <w:rPr>
          <w:rFonts w:cs="Times New Roman"/>
          <w:szCs w:val="28"/>
        </w:rPr>
        <w:t>а</w:t>
      </w:r>
      <w:r w:rsidR="007A7F4E">
        <w:rPr>
          <w:rFonts w:cs="Times New Roman"/>
          <w:szCs w:val="28"/>
        </w:rPr>
        <w:tab/>
      </w:r>
      <w:r w:rsidR="007A7F4E">
        <w:rPr>
          <w:rFonts w:cs="Times New Roman"/>
          <w:szCs w:val="28"/>
        </w:rPr>
        <w:tab/>
      </w:r>
      <w:r w:rsidR="007A7F4E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Р.И. Насибуллин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0D5" w:rsidTr="00E867BE">
        <w:trPr>
          <w:trHeight w:val="817"/>
        </w:trPr>
        <w:tc>
          <w:tcPr>
            <w:tcW w:w="9639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88" w:rsidRDefault="002A4788" w:rsidP="00337B0C">
      <w:r>
        <w:separator/>
      </w:r>
    </w:p>
  </w:endnote>
  <w:endnote w:type="continuationSeparator" w:id="0">
    <w:p w:rsidR="002A4788" w:rsidRDefault="002A4788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88" w:rsidRDefault="002A4788" w:rsidP="00337B0C">
      <w:r>
        <w:separator/>
      </w:r>
    </w:p>
  </w:footnote>
  <w:footnote w:type="continuationSeparator" w:id="0">
    <w:p w:rsidR="002A4788" w:rsidRDefault="002A4788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6705"/>
    <w:rsid w:val="000C137D"/>
    <w:rsid w:val="000E5261"/>
    <w:rsid w:val="00112D44"/>
    <w:rsid w:val="001D25FA"/>
    <w:rsid w:val="001E4FA1"/>
    <w:rsid w:val="001E6BCD"/>
    <w:rsid w:val="00221CAB"/>
    <w:rsid w:val="002A4788"/>
    <w:rsid w:val="002A645C"/>
    <w:rsid w:val="002C47B9"/>
    <w:rsid w:val="002F3096"/>
    <w:rsid w:val="003175F8"/>
    <w:rsid w:val="00337B0C"/>
    <w:rsid w:val="00346E04"/>
    <w:rsid w:val="003627FB"/>
    <w:rsid w:val="003642DB"/>
    <w:rsid w:val="00380DF4"/>
    <w:rsid w:val="00395423"/>
    <w:rsid w:val="004152CF"/>
    <w:rsid w:val="0043576B"/>
    <w:rsid w:val="004705C7"/>
    <w:rsid w:val="00484BA9"/>
    <w:rsid w:val="00492A4F"/>
    <w:rsid w:val="004C25DC"/>
    <w:rsid w:val="0055427D"/>
    <w:rsid w:val="00595EA4"/>
    <w:rsid w:val="005D00ED"/>
    <w:rsid w:val="005F665F"/>
    <w:rsid w:val="005F6F8F"/>
    <w:rsid w:val="006026AA"/>
    <w:rsid w:val="006270D5"/>
    <w:rsid w:val="00627C20"/>
    <w:rsid w:val="006629A3"/>
    <w:rsid w:val="006D4F40"/>
    <w:rsid w:val="007106D4"/>
    <w:rsid w:val="0072166A"/>
    <w:rsid w:val="00737049"/>
    <w:rsid w:val="007758E8"/>
    <w:rsid w:val="007A7F4E"/>
    <w:rsid w:val="007B647A"/>
    <w:rsid w:val="007B66CB"/>
    <w:rsid w:val="00811B20"/>
    <w:rsid w:val="00812A4E"/>
    <w:rsid w:val="009436E8"/>
    <w:rsid w:val="00993C7C"/>
    <w:rsid w:val="009C1F85"/>
    <w:rsid w:val="009F684D"/>
    <w:rsid w:val="00A15B68"/>
    <w:rsid w:val="00A245E6"/>
    <w:rsid w:val="00AB2A02"/>
    <w:rsid w:val="00AD2281"/>
    <w:rsid w:val="00AD36C1"/>
    <w:rsid w:val="00AE188B"/>
    <w:rsid w:val="00AE4D39"/>
    <w:rsid w:val="00AF1FD8"/>
    <w:rsid w:val="00B406B6"/>
    <w:rsid w:val="00B4391F"/>
    <w:rsid w:val="00B92725"/>
    <w:rsid w:val="00BC753A"/>
    <w:rsid w:val="00C0749C"/>
    <w:rsid w:val="00C243E8"/>
    <w:rsid w:val="00C359C4"/>
    <w:rsid w:val="00C66984"/>
    <w:rsid w:val="00C71DDB"/>
    <w:rsid w:val="00C9469C"/>
    <w:rsid w:val="00D0672C"/>
    <w:rsid w:val="00D15CC4"/>
    <w:rsid w:val="00D25843"/>
    <w:rsid w:val="00D75069"/>
    <w:rsid w:val="00DC3243"/>
    <w:rsid w:val="00DE1B83"/>
    <w:rsid w:val="00E61C7C"/>
    <w:rsid w:val="00E867BE"/>
    <w:rsid w:val="00E86C67"/>
    <w:rsid w:val="00EA43D3"/>
    <w:rsid w:val="00ED5012"/>
    <w:rsid w:val="00F60133"/>
    <w:rsid w:val="00F842CA"/>
    <w:rsid w:val="00FC1993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2062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C7E2-24A8-41F1-AE93-6F0605B6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6</cp:revision>
  <cp:lastPrinted>2023-07-01T07:20:00Z</cp:lastPrinted>
  <dcterms:created xsi:type="dcterms:W3CDTF">2023-01-31T12:44:00Z</dcterms:created>
  <dcterms:modified xsi:type="dcterms:W3CDTF">2023-07-01T07:20:00Z</dcterms:modified>
</cp:coreProperties>
</file>